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240"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Scheda di sintesi sulla rilevazione degli OIV o organismi con funzioni analoghe</w:t>
      </w:r>
    </w:p>
    <w:p>
      <w:pPr>
        <w:pStyle w:val="ListParagraph"/>
        <w:ind w:left="0" w:righ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righ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>
      <w:pPr>
        <w:pStyle w:val="ListParagraph"/>
        <w:spacing w:lineRule="auto" w:line="276" w:before="0" w:after="0"/>
        <w:ind w:left="0" w:right="0" w:hanging="0"/>
        <w:rPr>
          <w:rFonts w:ascii="Garamond" w:hAnsi="Garamond"/>
        </w:rPr>
      </w:pPr>
      <w:r>
        <w:rPr>
          <w:rFonts w:ascii="Garamond" w:hAnsi="Garamond"/>
        </w:rPr>
        <w:t>Indicare la data di svolgimento della rilevazione nel formato 31/03/2020.</w:t>
      </w:r>
    </w:p>
    <w:p>
      <w:pPr>
        <w:pStyle w:val="ListParagraph"/>
        <w:spacing w:lineRule="auto" w:line="276"/>
        <w:ind w:left="0" w:right="0" w:hanging="0"/>
        <w:rPr/>
      </w:pPr>
      <w:r>
        <w:rPr>
          <w:rFonts w:ascii="Garamond" w:hAnsi="Garamond"/>
        </w:rPr>
        <w:t xml:space="preserve">Indicare la </w:t>
      </w:r>
      <w:r>
        <w:rPr>
          <w:rFonts w:ascii="Garamond" w:hAnsi="Garamond"/>
          <w:u w:val="single"/>
        </w:rPr>
        <w:t>data di inizio e di fine</w:t>
      </w:r>
      <w:r>
        <w:rPr>
          <w:rFonts w:ascii="Garamond" w:hAnsi="Garamond"/>
        </w:rPr>
        <w:t xml:space="preserve"> della rilevazione: 30/03/2020 – 31/03/2020</w:t>
      </w:r>
    </w:p>
    <w:p>
      <w:pPr>
        <w:pStyle w:val="ListParagraph"/>
        <w:spacing w:lineRule="auto" w:line="276"/>
        <w:ind w:left="0" w:righ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righ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>
      <w:pPr>
        <w:pStyle w:val="Default"/>
        <w:tabs>
          <w:tab w:val="clear" w:pos="708"/>
          <w:tab w:val="left" w:pos="0" w:leader="none"/>
        </w:tabs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  <w:t>Le modalità attraverso le quali l'OIV ha proceduto alla verifica ha previsto i seguenti passaggi: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trasmissione dei dati;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pubblicazione dei dati;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  <w:t>verifica diretta sul sito istituzionale del Comune con particolare riferimento alla sezione Amministrazione Trasparente.</w:t>
      </w:r>
    </w:p>
    <w:p>
      <w:pPr>
        <w:pStyle w:val="Normal"/>
        <w:spacing w:lineRule="auto" w:line="36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</w:r>
    </w:p>
    <w:p>
      <w:pPr>
        <w:pStyle w:val="Normal"/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>
      <w:pPr>
        <w:pStyle w:val="Normal"/>
        <w:spacing w:lineRule="auto" w:line="36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  <w:t>Non si riscontrano aspetti critici nel corso della rilevazione</w:t>
      </w:r>
    </w:p>
    <w:p>
      <w:pPr>
        <w:pStyle w:val="Normal"/>
        <w:spacing w:lineRule="auto" w:line="36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</w:r>
    </w:p>
    <w:p>
      <w:pPr>
        <w:pStyle w:val="Normal"/>
        <w:spacing w:lineRule="auto" w:line="360" w:before="0" w:after="12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Eventuale documentazione da allegare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rFonts w:ascii="Garamond" w:hAnsi="Garamond"/>
        <w:b/>
      </w:rPr>
      <w:t xml:space="preserve">Allegato 3 alla </w:t>
    </w:r>
    <w:r>
      <w:rPr>
        <w:rFonts w:cs="Times New Roman" w:ascii="Garamond" w:hAnsi="Garamond"/>
        <w:b/>
      </w:rPr>
      <w:t>delibera ANAC n. 213</w:t>
    </w:r>
    <w:bookmarkStart w:id="0" w:name="Bookmark"/>
    <w:bookmarkEnd w:id="0"/>
    <w:r>
      <w:rPr>
        <w:rFonts w:cs="Times New Roman" w:ascii="Garamond" w:hAnsi="Garamond"/>
        <w:b/>
      </w:rPr>
      <w:t>/2020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principale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it-IT" w:eastAsia="it-IT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keepNext w:val="true"/>
      <w:widowControl w:val="false"/>
      <w:numPr>
        <w:ilvl w:val="0"/>
        <w:numId w:val="0"/>
      </w:numPr>
      <w:pBdr/>
      <w:suppressAutoHyphens w:val="true"/>
      <w:kinsoku w:val="true"/>
      <w:overflowPunct w:val="true"/>
      <w:autoSpaceDE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sz w:val="24"/>
      <w:szCs w:val="24"/>
      <w:lang w:eastAsia="ar-SA" w:val="it-IT" w:bidi="ar-SA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sz w:val="14"/>
      <w:vertAlign w:val="superscript"/>
    </w:rPr>
  </w:style>
  <w:style w:type="character" w:styleId="TestonotaapidipaginaCarattere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>
    <w:name w:val="WW_CharLFO13LVL1"/>
    <w:qFormat/>
    <w:rPr>
      <w:rFonts w:ascii="Times New Roman" w:hAnsi="Times New Roman" w:eastAsia="Times New Roman" w:cs="Times New Roman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5LVL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>
    <w:name w:val="WW_CharLFO15LVL2"/>
    <w:qFormat/>
    <w:rPr>
      <w:rFonts w:ascii="Courier New" w:hAnsi="Courier New" w:cs="Courier New"/>
    </w:rPr>
  </w:style>
  <w:style w:type="character" w:styleId="WWCharLFO15LVL3">
    <w:name w:val="WW_CharLFO15LVL3"/>
    <w:qFormat/>
    <w:rPr>
      <w:rFonts w:ascii="Wingdings" w:hAnsi="Wingdings"/>
    </w:rPr>
  </w:style>
  <w:style w:type="character" w:styleId="WWCharLFO15LVL4">
    <w:name w:val="WW_CharLFO15LVL4"/>
    <w:qFormat/>
    <w:rPr>
      <w:rFonts w:ascii="Symbol" w:hAnsi="Symbol"/>
    </w:rPr>
  </w:style>
  <w:style w:type="character" w:styleId="WWCharLFO15LVL5">
    <w:name w:val="WW_CharLFO15LVL5"/>
    <w:qFormat/>
    <w:rPr>
      <w:rFonts w:ascii="Courier New" w:hAnsi="Courier New" w:cs="Courier New"/>
    </w:rPr>
  </w:style>
  <w:style w:type="character" w:styleId="WWCharLFO15LVL6">
    <w:name w:val="WW_CharLFO15LVL6"/>
    <w:qFormat/>
    <w:rPr>
      <w:rFonts w:ascii="Wingdings" w:hAnsi="Wingdings"/>
    </w:rPr>
  </w:style>
  <w:style w:type="character" w:styleId="WWCharLFO15LVL7">
    <w:name w:val="WW_CharLFO15LVL7"/>
    <w:qFormat/>
    <w:rPr>
      <w:rFonts w:ascii="Symbol" w:hAnsi="Symbol"/>
    </w:rPr>
  </w:style>
  <w:style w:type="character" w:styleId="WWCharLFO15LVL8">
    <w:name w:val="WW_CharLFO15LVL8"/>
    <w:qFormat/>
    <w:rPr>
      <w:rFonts w:ascii="Courier New" w:hAnsi="Courier New" w:cs="Courier New"/>
    </w:rPr>
  </w:style>
  <w:style w:type="character" w:styleId="WWCharLFO15LVL9">
    <w:name w:val="WW_CharLFO15LVL9"/>
    <w:qFormat/>
    <w:rPr>
      <w:rFonts w:ascii="Wingdings" w:hAnsi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numPr>
        <w:ilvl w:val="0"/>
        <w:numId w:val="0"/>
      </w:numPr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qFormat/>
    <w:pPr>
      <w:numPr>
        <w:ilvl w:val="0"/>
        <w:numId w:val="0"/>
      </w:numPr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357" w:right="0" w:hanging="357"/>
    </w:pPr>
    <w:rPr/>
  </w:style>
  <w:style w:type="paragraph" w:styleId="Titoloprincipale">
    <w:name w:val="Title"/>
    <w:basedOn w:val="Normal"/>
    <w:next w:val="Sottotitolo"/>
    <w:qFormat/>
    <w:pPr>
      <w:numPr>
        <w:ilvl w:val="0"/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Sottotitolo">
    <w:name w:val="Subtitle"/>
    <w:basedOn w:val="Titolo"/>
    <w:next w:val="Corpodeltesto"/>
    <w:qFormat/>
    <w:pPr>
      <w:jc w:val="center"/>
    </w:pPr>
    <w:rPr>
      <w:i/>
      <w:iCs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>
    <w:name w:val="Default"/>
    <w:qFormat/>
    <w:pPr>
      <w:keepNext w:val="true"/>
      <w:widowControl/>
      <w:numPr>
        <w:ilvl w:val="0"/>
        <w:numId w:val="0"/>
      </w:numPr>
      <w:pBdr/>
      <w:suppressAutoHyphens w:val="true"/>
      <w:kinsoku w:val="true"/>
      <w:overflowPunct w:val="true"/>
      <w:autoSpaceDE w:val="true"/>
      <w:bidi w:val="0"/>
      <w:spacing w:lineRule="atLeast" w:line="100" w:before="0" w:after="0"/>
    </w:pPr>
    <w:rPr>
      <w:rFonts w:ascii="Times New Roman" w:hAnsi="Times New Roman" w:eastAsia="Calibri" w:cs="Times New Roman"/>
      <w:color w:val="000000"/>
      <w:sz w:val="24"/>
      <w:szCs w:val="24"/>
      <w:lang w:eastAsia="en-US" w:val="it-IT" w:bidi="ar-SA"/>
    </w:rPr>
  </w:style>
  <w:style w:type="paragraph" w:styleId="Annotationtext">
    <w:name w:val="annotation text"/>
    <w:basedOn w:val="Normal"/>
    <w:qFormat/>
    <w:pPr>
      <w:numPr>
        <w:ilvl w:val="0"/>
        <w:numId w:val="0"/>
      </w:numPr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</w:pPr>
    <w:rPr>
      <w:b/>
      <w:bCs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LibreOffice/7.0.1.2$Windows_x86 LibreOffice_project/7cbcfc562f6eb6708b5ff7d7397325de9e764452</Application>
  <Pages>1</Pages>
  <Words>122</Words>
  <CharactersWithSpaces>843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>GIUSEPPE ANDRIOLO</cp:lastModifiedBy>
  <cp:lastPrinted>2018-02-28T15:30:00Z</cp:lastPrinted>
  <dcterms:modified xsi:type="dcterms:W3CDTF">2020-04-28T11:13:30Z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